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641986B8" w:rsidR="0081073F" w:rsidRPr="0001193B" w:rsidRDefault="00D95266" w:rsidP="0081073F">
            <w:pPr>
              <w:rPr>
                <w:rFonts w:ascii="Times New Roman" w:hAnsi="Times New Roman" w:cs="Times New Roman"/>
                <w:sz w:val="24"/>
                <w:szCs w:val="24"/>
              </w:rPr>
            </w:pPr>
            <w:r>
              <w:rPr>
                <w:rFonts w:ascii="Times New Roman" w:hAnsi="Times New Roman" w:cs="Times New Roman"/>
                <w:sz w:val="24"/>
                <w:szCs w:val="24"/>
              </w:rPr>
              <w:t>$0.</w:t>
            </w:r>
            <w:r w:rsidR="00B11707">
              <w:rPr>
                <w:rFonts w:ascii="Times New Roman" w:hAnsi="Times New Roman" w:cs="Times New Roman"/>
                <w:sz w:val="24"/>
                <w:szCs w:val="24"/>
              </w:rPr>
              <w:t>0</w:t>
            </w:r>
            <w:r w:rsidR="006B3D05">
              <w:rPr>
                <w:rFonts w:ascii="Times New Roman" w:hAnsi="Times New Roman" w:cs="Times New Roman"/>
                <w:sz w:val="24"/>
                <w:szCs w:val="24"/>
              </w:rPr>
              <w:t>9</w:t>
            </w:r>
            <w:r w:rsidR="00C46B47">
              <w:rPr>
                <w:rFonts w:ascii="Times New Roman" w:hAnsi="Times New Roman" w:cs="Times New Roman"/>
                <w:sz w:val="24"/>
                <w:szCs w:val="24"/>
              </w:rPr>
              <w:t>499</w:t>
            </w:r>
            <w:r w:rsidR="0081073F" w:rsidRPr="0001193B">
              <w:rPr>
                <w:rFonts w:ascii="Times New Roman" w:hAnsi="Times New Roman" w:cs="Times New Roman"/>
                <w:sz w:val="24"/>
                <w:szCs w:val="24"/>
              </w:rPr>
              <w:t xml:space="preserve"> 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55108C9B" w14:textId="1D7E33B5"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Utility Electric Supply Price to Compare (PTC) in cents/kWh:</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8A2846">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3BEDD27D" w14:textId="372CE46B" w:rsidR="005A70B9" w:rsidRPr="0001193B" w:rsidRDefault="007A1F5B" w:rsidP="0081073F">
            <w:pPr>
              <w:rPr>
                <w:rFonts w:ascii="Times New Roman" w:hAnsi="Times New Roman" w:cs="Times New Roman"/>
                <w:sz w:val="24"/>
                <w:szCs w:val="24"/>
              </w:rPr>
            </w:pPr>
            <w:r w:rsidRPr="007A1F5B">
              <w:rPr>
                <w:rFonts w:ascii="Times New Roman" w:hAnsi="Times New Roman" w:cs="Times New Roman"/>
                <w:sz w:val="24"/>
                <w:szCs w:val="24"/>
              </w:rPr>
              <w:t>$0</w:t>
            </w:r>
            <w:r w:rsidR="00C97A41" w:rsidRPr="00C97A41">
              <w:rPr>
                <w:rFonts w:ascii="Times New Roman" w:hAnsi="Times New Roman" w:cs="Times New Roman"/>
                <w:sz w:val="24"/>
                <w:szCs w:val="24"/>
              </w:rPr>
              <w:t>.0</w:t>
            </w:r>
            <w:r w:rsidR="006B3D05">
              <w:rPr>
                <w:rFonts w:ascii="Times New Roman" w:hAnsi="Times New Roman" w:cs="Times New Roman"/>
                <w:sz w:val="24"/>
                <w:szCs w:val="24"/>
              </w:rPr>
              <w:t>96</w:t>
            </w:r>
            <w:r w:rsidR="00892101">
              <w:rPr>
                <w:rFonts w:ascii="Times New Roman" w:hAnsi="Times New Roman" w:cs="Times New Roman"/>
                <w:sz w:val="24"/>
                <w:szCs w:val="24"/>
              </w:rPr>
              <w:t>60</w:t>
            </w:r>
            <w:r w:rsidR="005A70B9" w:rsidRPr="0001193B">
              <w:rPr>
                <w:rFonts w:ascii="Times New Roman" w:hAnsi="Times New Roman" w:cs="Times New Roman"/>
                <w:sz w:val="24"/>
                <w:szCs w:val="24"/>
              </w:rPr>
              <w:t>/ kWh</w:t>
            </w:r>
          </w:p>
        </w:tc>
        <w:tc>
          <w:tcPr>
            <w:tcW w:w="1035" w:type="pct"/>
          </w:tcPr>
          <w:p w14:paraId="2DB0DAE8" w14:textId="4B335C82" w:rsidR="005A70B9" w:rsidRPr="0001193B" w:rsidRDefault="00892101" w:rsidP="0081073F">
            <w:pPr>
              <w:rPr>
                <w:rFonts w:ascii="Times New Roman" w:hAnsi="Times New Roman" w:cs="Times New Roman"/>
                <w:sz w:val="24"/>
                <w:szCs w:val="24"/>
              </w:rPr>
            </w:pPr>
            <w:r>
              <w:rPr>
                <w:rFonts w:ascii="Times New Roman" w:hAnsi="Times New Roman" w:cs="Times New Roman"/>
                <w:sz w:val="24"/>
                <w:szCs w:val="24"/>
              </w:rPr>
              <w:t>1</w:t>
            </w:r>
            <w:r w:rsidR="002B4AF9">
              <w:rPr>
                <w:rFonts w:ascii="Times New Roman" w:hAnsi="Times New Roman" w:cs="Times New Roman"/>
                <w:sz w:val="24"/>
                <w:szCs w:val="24"/>
              </w:rPr>
              <w:t>/1/202</w:t>
            </w:r>
            <w:r>
              <w:rPr>
                <w:rFonts w:ascii="Times New Roman" w:hAnsi="Times New Roman" w:cs="Times New Roman"/>
                <w:sz w:val="24"/>
                <w:szCs w:val="24"/>
              </w:rPr>
              <w:t>6</w:t>
            </w:r>
          </w:p>
        </w:tc>
        <w:tc>
          <w:tcPr>
            <w:tcW w:w="1034" w:type="pct"/>
          </w:tcPr>
          <w:p w14:paraId="74CAB36B" w14:textId="73BF7C0A" w:rsidR="005A70B9" w:rsidRPr="0001193B" w:rsidRDefault="003262FC" w:rsidP="0081073F">
            <w:pPr>
              <w:rPr>
                <w:rFonts w:ascii="Times New Roman" w:hAnsi="Times New Roman" w:cs="Times New Roman"/>
                <w:sz w:val="24"/>
                <w:szCs w:val="24"/>
              </w:rPr>
            </w:pPr>
            <w:r>
              <w:rPr>
                <w:rFonts w:ascii="Times New Roman" w:hAnsi="Times New Roman" w:cs="Times New Roman"/>
                <w:sz w:val="24"/>
                <w:szCs w:val="24"/>
              </w:rPr>
              <w:t>5</w:t>
            </w:r>
            <w:r w:rsidR="0064287D">
              <w:rPr>
                <w:rFonts w:ascii="Times New Roman" w:hAnsi="Times New Roman" w:cs="Times New Roman"/>
                <w:sz w:val="24"/>
                <w:szCs w:val="24"/>
              </w:rPr>
              <w:t>/3</w:t>
            </w:r>
            <w:r>
              <w:rPr>
                <w:rFonts w:ascii="Times New Roman" w:hAnsi="Times New Roman" w:cs="Times New Roman"/>
                <w:sz w:val="24"/>
                <w:szCs w:val="24"/>
              </w:rPr>
              <w:t>1</w:t>
            </w:r>
            <w:r w:rsidR="0064287D">
              <w:rPr>
                <w:rFonts w:ascii="Times New Roman" w:hAnsi="Times New Roman" w:cs="Times New Roman"/>
                <w:sz w:val="24"/>
                <w:szCs w:val="24"/>
              </w:rPr>
              <w:t>/202</w:t>
            </w:r>
            <w:r w:rsidR="006B3D05">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37DA9019"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 xml:space="preserve">Nordic Energy Services, LLC (“Nordic”) is not the same entity as your electric delivery company. You are not required to enroll with Nordic. Beginning on </w:t>
            </w:r>
            <w:r w:rsidR="003262FC">
              <w:rPr>
                <w:rFonts w:ascii="Times New Roman" w:hAnsi="Times New Roman" w:cs="Times New Roman"/>
                <w:sz w:val="24"/>
                <w:szCs w:val="24"/>
              </w:rPr>
              <w:t>1</w:t>
            </w:r>
            <w:r w:rsidR="00AB5D6D">
              <w:rPr>
                <w:rFonts w:ascii="Times New Roman" w:hAnsi="Times New Roman" w:cs="Times New Roman"/>
                <w:sz w:val="24"/>
                <w:szCs w:val="24"/>
              </w:rPr>
              <w:t>/1/202</w:t>
            </w:r>
            <w:r w:rsidR="00892101">
              <w:rPr>
                <w:rFonts w:ascii="Times New Roman" w:hAnsi="Times New Roman" w:cs="Times New Roman"/>
                <w:sz w:val="24"/>
                <w:szCs w:val="24"/>
              </w:rPr>
              <w:t>6</w:t>
            </w:r>
            <w:r w:rsidRPr="0001193B">
              <w:rPr>
                <w:rFonts w:ascii="Times New Roman" w:hAnsi="Times New Roman" w:cs="Times New Roman"/>
                <w:sz w:val="24"/>
                <w:szCs w:val="24"/>
              </w:rPr>
              <w:t xml:space="preserve">, the electric supply price to compare is </w:t>
            </w:r>
            <w:r w:rsidR="00766872" w:rsidRPr="00766872">
              <w:rPr>
                <w:rFonts w:ascii="Times New Roman" w:hAnsi="Times New Roman" w:cs="Times New Roman"/>
                <w:sz w:val="24"/>
                <w:szCs w:val="24"/>
              </w:rPr>
              <w:t>$0.0</w:t>
            </w:r>
            <w:r w:rsidR="006B3D05">
              <w:rPr>
                <w:rFonts w:ascii="Times New Roman" w:hAnsi="Times New Roman" w:cs="Times New Roman"/>
                <w:sz w:val="24"/>
                <w:szCs w:val="24"/>
              </w:rPr>
              <w:t>96</w:t>
            </w:r>
            <w:r w:rsidR="00892101">
              <w:rPr>
                <w:rFonts w:ascii="Times New Roman" w:hAnsi="Times New Roman" w:cs="Times New Roman"/>
                <w:sz w:val="24"/>
                <w:szCs w:val="24"/>
              </w:rPr>
              <w:t>60</w:t>
            </w:r>
            <w:r w:rsidR="00766872">
              <w:rPr>
                <w:rFonts w:ascii="Times New Roman" w:hAnsi="Times New Roman" w:cs="Times New Roman"/>
                <w:sz w:val="24"/>
                <w:szCs w:val="24"/>
              </w:rPr>
              <w:t xml:space="preserve"> </w:t>
            </w:r>
            <w:r w:rsidRPr="0001193B">
              <w:rPr>
                <w:rFonts w:ascii="Times New Roman" w:hAnsi="Times New Roman" w:cs="Times New Roman"/>
                <w:sz w:val="24"/>
                <w:szCs w:val="24"/>
              </w:rPr>
              <w:t xml:space="preserve">cents per kWh. The electric utility electric supply price will expire on </w:t>
            </w:r>
            <w:r w:rsidR="003262FC">
              <w:rPr>
                <w:rFonts w:ascii="Times New Roman" w:hAnsi="Times New Roman" w:cs="Times New Roman"/>
                <w:sz w:val="24"/>
                <w:szCs w:val="24"/>
              </w:rPr>
              <w:t>5</w:t>
            </w:r>
            <w:r w:rsidR="00AB5D6D">
              <w:rPr>
                <w:rFonts w:ascii="Times New Roman" w:hAnsi="Times New Roman" w:cs="Times New Roman"/>
                <w:sz w:val="24"/>
                <w:szCs w:val="24"/>
              </w:rPr>
              <w:t>/3</w:t>
            </w:r>
            <w:r w:rsidR="003262FC">
              <w:rPr>
                <w:rFonts w:ascii="Times New Roman" w:hAnsi="Times New Roman" w:cs="Times New Roman"/>
                <w:sz w:val="24"/>
                <w:szCs w:val="24"/>
              </w:rPr>
              <w:t>1</w:t>
            </w:r>
            <w:r w:rsidR="00AB5D6D">
              <w:rPr>
                <w:rFonts w:ascii="Times New Roman" w:hAnsi="Times New Roman" w:cs="Times New Roman"/>
                <w:sz w:val="24"/>
                <w:szCs w:val="24"/>
              </w:rPr>
              <w:t>/202</w:t>
            </w:r>
            <w:r w:rsidR="006B3D05">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2BE3653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rescind (stop) your enrollment within 10 calendar days after the date on your Electric Utility’s written notice confirming the switch of your supplier. You may call us at 1-877-808-1022 or </w:t>
            </w:r>
            <w:r w:rsidR="0064287D">
              <w:rPr>
                <w:rFonts w:ascii="Times New Roman" w:hAnsi="Times New Roman" w:cs="Times New Roman"/>
                <w:sz w:val="24"/>
                <w:szCs w:val="24"/>
              </w:rPr>
              <w:t>ComEd</w:t>
            </w:r>
            <w:r w:rsidRPr="0001193B">
              <w:rPr>
                <w:rFonts w:ascii="Times New Roman" w:hAnsi="Times New Roman" w:cs="Times New Roman"/>
                <w:sz w:val="24"/>
                <w:szCs w:val="24"/>
              </w:rPr>
              <w:t xml:space="preserve"> at 1-800-334-7661</w:t>
            </w:r>
            <w:r w:rsidR="005129D8">
              <w:rPr>
                <w:rFonts w:ascii="Times New Roman" w:hAnsi="Times New Roman" w:cs="Times New Roman"/>
                <w:sz w:val="24"/>
                <w:szCs w:val="24"/>
              </w:rPr>
              <w:t>.</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766E92" w14:textId="77777777" w:rsidR="008A2846" w:rsidRPr="0001193B" w:rsidRDefault="008A2846" w:rsidP="003B172E">
      <w:pPr>
        <w:spacing w:after="0" w:line="240" w:lineRule="auto"/>
        <w:rPr>
          <w:rFonts w:ascii="Times New Roman" w:hAnsi="Times New Roman" w:cs="Times New Roman"/>
          <w:sz w:val="24"/>
          <w:szCs w:val="24"/>
        </w:rPr>
      </w:pPr>
    </w:p>
    <w:p w14:paraId="4752752D" w14:textId="01198035"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This is a sales solicitation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41661C55" w14:textId="77777777"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7D21B78D"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77777777"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Date: </w:t>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00EB2078" w:rsidRPr="0001193B">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 xml:space="preserve">ID: </w:t>
      </w:r>
    </w:p>
    <w:p w14:paraId="12E8D801" w14:textId="3880811D" w:rsidR="0001193B" w:rsidRPr="00E72EE7" w:rsidRDefault="0001193B" w:rsidP="00E72EE7">
      <w:pPr>
        <w:spacing w:after="0" w:line="240" w:lineRule="auto"/>
        <w:rPr>
          <w:rFonts w:asciiTheme="majorHAnsi" w:hAnsiTheme="majorHAnsi" w:cs="Times New Roman"/>
          <w:sz w:val="24"/>
          <w:szCs w:val="24"/>
        </w:rPr>
      </w:pPr>
      <w:r>
        <w:rPr>
          <w:rFonts w:asciiTheme="majorHAnsi" w:hAnsiTheme="majorHAnsi" w:cs="Times New Roman"/>
          <w:sz w:val="24"/>
          <w:szCs w:val="24"/>
        </w:rPr>
        <w:tab/>
        <w:t>_________________________</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_____________________________________________</w:t>
      </w:r>
    </w:p>
    <w:sectPr w:rsidR="0001193B" w:rsidRPr="00E72EE7" w:rsidSect="00CA72A4">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3691" w14:textId="77777777" w:rsidR="007717DD" w:rsidRDefault="007717DD" w:rsidP="0081073F">
      <w:pPr>
        <w:spacing w:after="0" w:line="240" w:lineRule="auto"/>
      </w:pPr>
      <w:r>
        <w:separator/>
      </w:r>
    </w:p>
  </w:endnote>
  <w:endnote w:type="continuationSeparator" w:id="0">
    <w:p w14:paraId="284ECCD3" w14:textId="77777777" w:rsidR="007717DD" w:rsidRDefault="007717DD" w:rsidP="0081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A793" w14:textId="77777777" w:rsidR="007717DD" w:rsidRDefault="007717DD" w:rsidP="0081073F">
      <w:pPr>
        <w:spacing w:after="0" w:line="240" w:lineRule="auto"/>
      </w:pPr>
      <w:r>
        <w:separator/>
      </w:r>
    </w:p>
  </w:footnote>
  <w:footnote w:type="continuationSeparator" w:id="0">
    <w:p w14:paraId="05E143D7" w14:textId="77777777" w:rsidR="007717DD" w:rsidRDefault="007717DD" w:rsidP="00810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34CE"/>
    <w:rsid w:val="00036A42"/>
    <w:rsid w:val="000810AF"/>
    <w:rsid w:val="000D52D2"/>
    <w:rsid w:val="0010654B"/>
    <w:rsid w:val="0016277A"/>
    <w:rsid w:val="001A01DF"/>
    <w:rsid w:val="00200DC6"/>
    <w:rsid w:val="00244B41"/>
    <w:rsid w:val="002B4AF9"/>
    <w:rsid w:val="002D484B"/>
    <w:rsid w:val="002E2122"/>
    <w:rsid w:val="003262FC"/>
    <w:rsid w:val="003B172E"/>
    <w:rsid w:val="003C511B"/>
    <w:rsid w:val="003D371E"/>
    <w:rsid w:val="00402171"/>
    <w:rsid w:val="00447E52"/>
    <w:rsid w:val="00484155"/>
    <w:rsid w:val="004B013C"/>
    <w:rsid w:val="005129D8"/>
    <w:rsid w:val="00514ECA"/>
    <w:rsid w:val="0052272A"/>
    <w:rsid w:val="005A70B9"/>
    <w:rsid w:val="005C19BF"/>
    <w:rsid w:val="005C7537"/>
    <w:rsid w:val="005E548E"/>
    <w:rsid w:val="0064287D"/>
    <w:rsid w:val="006B3D05"/>
    <w:rsid w:val="00700237"/>
    <w:rsid w:val="00766872"/>
    <w:rsid w:val="007717DD"/>
    <w:rsid w:val="007A1F5B"/>
    <w:rsid w:val="007C41EC"/>
    <w:rsid w:val="007C6EF1"/>
    <w:rsid w:val="0081073F"/>
    <w:rsid w:val="0087556A"/>
    <w:rsid w:val="00892101"/>
    <w:rsid w:val="008A2846"/>
    <w:rsid w:val="00951A57"/>
    <w:rsid w:val="0095415B"/>
    <w:rsid w:val="00956250"/>
    <w:rsid w:val="009633C2"/>
    <w:rsid w:val="009F615E"/>
    <w:rsid w:val="00A81BFC"/>
    <w:rsid w:val="00AB5D6D"/>
    <w:rsid w:val="00AE6DF1"/>
    <w:rsid w:val="00AE78AA"/>
    <w:rsid w:val="00B11707"/>
    <w:rsid w:val="00BA18B9"/>
    <w:rsid w:val="00BE02C0"/>
    <w:rsid w:val="00C1171E"/>
    <w:rsid w:val="00C46B47"/>
    <w:rsid w:val="00C50570"/>
    <w:rsid w:val="00C97A41"/>
    <w:rsid w:val="00CA72A4"/>
    <w:rsid w:val="00CC45EB"/>
    <w:rsid w:val="00CE7248"/>
    <w:rsid w:val="00D4505B"/>
    <w:rsid w:val="00D5535A"/>
    <w:rsid w:val="00D70783"/>
    <w:rsid w:val="00D95266"/>
    <w:rsid w:val="00DC3425"/>
    <w:rsid w:val="00DF17FC"/>
    <w:rsid w:val="00E56270"/>
    <w:rsid w:val="00E7079F"/>
    <w:rsid w:val="00E72EE7"/>
    <w:rsid w:val="00E960D4"/>
    <w:rsid w:val="00EB2078"/>
    <w:rsid w:val="00EF641E"/>
    <w:rsid w:val="00F004B0"/>
    <w:rsid w:val="00F304F2"/>
    <w:rsid w:val="00F57280"/>
    <w:rsid w:val="00F85647"/>
    <w:rsid w:val="00F8573C"/>
    <w:rsid w:val="00F94C6E"/>
    <w:rsid w:val="00FA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633c9f9df647607dd61a71989c072d80">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5bbfea7c832488e0685efb1bf51180e2"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BC7B-DB93-490A-BAE2-3B5002B2F945}">
  <ds:schemaRefs>
    <ds:schemaRef ds:uri="http://schemas.microsoft.com/sharepoint/v3/contenttype/forms"/>
  </ds:schemaRefs>
</ds:datastoreItem>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23FDFE55-0053-4604-B773-981BE7D2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dffa-592c-4db1-b769-06bada1e3cd0"/>
    <ds:schemaRef ds:uri="801480bb-a590-43e6-b36d-b1a6d84d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2</cp:revision>
  <dcterms:created xsi:type="dcterms:W3CDTF">2026-02-05T20:46:00Z</dcterms:created>
  <dcterms:modified xsi:type="dcterms:W3CDTF">2026-02-05T20:46:00Z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c48b576d-66df-46bc-bb29-024f356f71c3</vt:lpwstr>
  </property>
  <property fmtid="{D5CDD505-2E9C-101B-9397-08002B2CF9AE}" pid="4" name="MediaServiceImageTags">
    <vt:lpwstr/>
  </property>
</Properties>
</file>